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00" w:line="276" w:lineRule="auto"/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AAQEP Appendix HI:</w:t>
        <w:br w:type="textWrapping"/>
        <w:t xml:space="preserve">Evidence of Hawaiʻi-Specific Requirements </w:t>
        <w:br w:type="textWrapping"/>
        <w:t xml:space="preserve">for Teacher Licensure Programs</w:t>
      </w:r>
    </w:p>
    <w:p w:rsidR="00000000" w:rsidDel="00000000" w:rsidP="00000000" w:rsidRDefault="00000000" w:rsidRPr="00000000" w14:paraId="00000002">
      <w:pPr>
        <w:spacing w:after="0" w:line="276" w:lineRule="auto"/>
        <w:jc w:val="center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(For Hawai‘i Providers Only)</w:t>
      </w:r>
    </w:p>
    <w:p w:rsidR="00000000" w:rsidDel="00000000" w:rsidP="00000000" w:rsidRDefault="00000000" w:rsidRPr="00000000" w14:paraId="00000003">
      <w:pPr>
        <w:spacing w:after="0" w:line="276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25420809"/>
        <w:tag w:val="goog_rdk_0"/>
      </w:sdtPr>
      <w:sdtContent>
        <w:tbl>
          <w:tblPr>
            <w:tblStyle w:val="Table1"/>
            <w:tblW w:w="936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360"/>
            <w:tblGridChange w:id="0">
              <w:tblGrid>
                <w:gridCol w:w="936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4">
                <w:pPr>
                  <w:spacing w:after="200" w:line="276" w:lineRule="auto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rtl w:val="0"/>
                  </w:rPr>
                  <w:t xml:space="preserve">Purpose:</w:t>
                </w: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 Per AAQEP’s cooperation agreement with the Hawai‘i Teacher Standards Board, self-study authors are responsible for providing evidence of how teacher candidates in all licensure programs are prepared in the areas specified in the </w:t>
                </w:r>
                <w:r w:rsidDel="00000000" w:rsidR="00000000" w:rsidRPr="00000000">
                  <w:rPr>
                    <w:rFonts w:ascii="Arial" w:cs="Arial" w:eastAsia="Arial" w:hAnsi="Arial"/>
                    <w:highlight w:val="white"/>
                    <w:rtl w:val="0"/>
                  </w:rPr>
                  <w:t xml:space="preserve">Hawai‘i Administrative Rules </w:t>
                </w: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§8-54-19</w:t>
                </w: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. This template collects the required information to be included in the self-study under Aspect 4g.</w:t>
                </w:r>
              </w:p>
              <w:p w:rsidR="00000000" w:rsidDel="00000000" w:rsidP="00000000" w:rsidRDefault="00000000" w:rsidRPr="00000000" w14:paraId="00000005">
                <w:pPr>
                  <w:spacing w:after="0" w:line="276" w:lineRule="auto"/>
                  <w:rPr>
                    <w:rFonts w:ascii="Arial" w:cs="Arial" w:eastAsia="Arial" w:hAnsi="Arial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rtl w:val="0"/>
                  </w:rPr>
                  <w:t xml:space="preserve">Directions for Completion: </w:t>
                </w:r>
              </w:p>
              <w:p w:rsidR="00000000" w:rsidDel="00000000" w:rsidP="00000000" w:rsidRDefault="00000000" w:rsidRPr="00000000" w14:paraId="00000006">
                <w:pPr>
                  <w:numPr>
                    <w:ilvl w:val="0"/>
                    <w:numId w:val="2"/>
                  </w:numPr>
                  <w:spacing w:after="0" w:line="276" w:lineRule="auto"/>
                  <w:ind w:left="720" w:hanging="360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Type the requested information in each of the shaded rows below. If the information requested for a given item is already provided elsewhere in your self-study, please indicate where it can be found rather than presenting duplicate information. </w:t>
                </w:r>
              </w:p>
              <w:p w:rsidR="00000000" w:rsidDel="00000000" w:rsidP="00000000" w:rsidRDefault="00000000" w:rsidRPr="00000000" w14:paraId="00000007">
                <w:pPr>
                  <w:numPr>
                    <w:ilvl w:val="0"/>
                    <w:numId w:val="2"/>
                  </w:numPr>
                  <w:spacing w:after="0" w:line="276" w:lineRule="auto"/>
                  <w:ind w:left="720" w:hanging="360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Once this form is complete, save it as a PDF, and upload that document as evidence in the self-study field for Aspect 4g in the Accreditation Management Platform. </w:t>
                </w:r>
              </w:p>
              <w:p w:rsidR="00000000" w:rsidDel="00000000" w:rsidP="00000000" w:rsidRDefault="00000000" w:rsidRPr="00000000" w14:paraId="00000008">
                <w:pPr>
                  <w:numPr>
                    <w:ilvl w:val="0"/>
                    <w:numId w:val="2"/>
                  </w:numPr>
                  <w:spacing w:after="0" w:line="276" w:lineRule="auto"/>
                  <w:ind w:left="720" w:hanging="360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If further documentation is needed to support the narrative below, please upload it as additional evidence for Aspect 4g, clearly labeling it as in support of Appendix HI.</w:t>
                </w:r>
              </w:p>
            </w:tc>
          </w:tr>
        </w:tbl>
      </w:sdtContent>
    </w:sdt>
    <w:p w:rsidR="00000000" w:rsidDel="00000000" w:rsidP="00000000" w:rsidRDefault="00000000" w:rsidRPr="00000000" w14:paraId="00000009">
      <w:pPr>
        <w:spacing w:after="0" w:line="276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350"/>
        <w:tblGridChange w:id="0">
          <w:tblGrid>
            <w:gridCol w:w="9350"/>
          </w:tblGrid>
        </w:tblGridChange>
      </w:tblGrid>
      <w:tr>
        <w:trPr>
          <w:cantSplit w:val="0"/>
          <w:tblHeader w:val="0"/>
        </w:trPr>
        <w:tc>
          <w:tcPr>
            <w:tcMar>
              <w:top w:w="99.36" w:type="dxa"/>
              <w:left w:w="99.36" w:type="dxa"/>
              <w:bottom w:w="99.36" w:type="dxa"/>
              <w:right w:w="99.36" w:type="dxa"/>
            </w:tcMar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360" w:right="0" w:hanging="36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Evidence that candidates m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eet the HTSB performance standards as applicable, as indicated in HAR §8-54-19 (2)</w:t>
            </w:r>
          </w:p>
        </w:tc>
      </w:tr>
      <w:tr>
        <w:trPr>
          <w:cantSplit w:val="0"/>
          <w:tblHeader w:val="0"/>
        </w:trPr>
        <w:tc>
          <w:tcPr>
            <w:shd w:fill="d0e0e3" w:val="clear"/>
            <w:tcMar>
              <w:top w:w="99.36" w:type="dxa"/>
              <w:left w:w="99.36" w:type="dxa"/>
              <w:bottom w:w="99.36" w:type="dxa"/>
              <w:right w:w="99.36" w:type="dxa"/>
            </w:tcMar>
          </w:tcPr>
          <w:p w:rsidR="00000000" w:rsidDel="00000000" w:rsidP="00000000" w:rsidRDefault="00000000" w:rsidRPr="00000000" w14:paraId="0000000B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99.36" w:type="dxa"/>
              <w:left w:w="99.36" w:type="dxa"/>
              <w:bottom w:w="99.36" w:type="dxa"/>
              <w:right w:w="99.36" w:type="dxa"/>
            </w:tcMar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360" w:right="0" w:hanging="36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Evidence that candidates exhibit professional and ethical dispositions necessary to help all students learn as outlined in the board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’s Code of Ethics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0e0e3" w:val="clear"/>
            <w:tcMar>
              <w:top w:w="99.36" w:type="dxa"/>
              <w:left w:w="99.36" w:type="dxa"/>
              <w:bottom w:w="99.36" w:type="dxa"/>
              <w:right w:w="99.36" w:type="dxa"/>
            </w:tcMar>
          </w:tcPr>
          <w:p w:rsidR="00000000" w:rsidDel="00000000" w:rsidP="00000000" w:rsidRDefault="00000000" w:rsidRPr="00000000" w14:paraId="0000000D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99.36" w:type="dxa"/>
              <w:left w:w="99.36" w:type="dxa"/>
              <w:bottom w:w="99.36" w:type="dxa"/>
              <w:right w:w="99.36" w:type="dxa"/>
            </w:tcMar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360" w:right="0" w:hanging="36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Evidence that candidates are prepared to i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ncorporate the following areas into their pr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actice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990" w:right="0" w:hanging="630"/>
              <w:jc w:val="left"/>
              <w:rPr>
                <w:i w:val="0"/>
                <w:iCs w:val="0"/>
                <w:smallCaps w:val="0"/>
                <w:strike w:val="0"/>
                <w:color w:val="00000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Integration of </w:t>
            </w: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Hawaiian 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l</w:t>
            </w: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anguage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, h</w:t>
            </w: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istory, and 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</w:t>
            </w: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ulture in order to promote and perpetuate traditional ways of knowing, learning, and teaching</w:t>
            </w:r>
          </w:p>
        </w:tc>
      </w:tr>
      <w:tr>
        <w:trPr>
          <w:cantSplit w:val="0"/>
          <w:tblHeader w:val="0"/>
        </w:trPr>
        <w:tc>
          <w:tcPr>
            <w:shd w:fill="d0e0e3" w:val="clear"/>
            <w:tcMar>
              <w:top w:w="99.36" w:type="dxa"/>
              <w:left w:w="99.36" w:type="dxa"/>
              <w:bottom w:w="99.36" w:type="dxa"/>
              <w:right w:w="99.36" w:type="dxa"/>
            </w:tcMar>
          </w:tcPr>
          <w:p w:rsidR="00000000" w:rsidDel="00000000" w:rsidP="00000000" w:rsidRDefault="00000000" w:rsidRPr="00000000" w14:paraId="00000010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99.36" w:type="dxa"/>
              <w:left w:w="99.36" w:type="dxa"/>
              <w:bottom w:w="99.36" w:type="dxa"/>
              <w:right w:w="99.36" w:type="dxa"/>
            </w:tcMar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990" w:right="0" w:hanging="630"/>
              <w:jc w:val="left"/>
              <w:rPr>
                <w:i w:val="0"/>
                <w:iCs w:val="0"/>
                <w:smallCaps w:val="0"/>
                <w:strike w:val="0"/>
                <w:color w:val="00000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Student standards 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</w:t>
            </w: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dopted by the Hawaii Department of Education</w:t>
            </w:r>
          </w:p>
        </w:tc>
      </w:tr>
      <w:tr>
        <w:trPr>
          <w:cantSplit w:val="0"/>
          <w:tblHeader w:val="0"/>
        </w:trPr>
        <w:tc>
          <w:tcPr>
            <w:shd w:fill="d0e0e3" w:val="clear"/>
            <w:tcMar>
              <w:top w:w="99.36" w:type="dxa"/>
              <w:left w:w="99.36" w:type="dxa"/>
              <w:bottom w:w="99.36" w:type="dxa"/>
              <w:right w:w="99.36" w:type="dxa"/>
            </w:tcMar>
          </w:tcPr>
          <w:p w:rsidR="00000000" w:rsidDel="00000000" w:rsidP="00000000" w:rsidRDefault="00000000" w:rsidRPr="00000000" w14:paraId="00000012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99.36" w:type="dxa"/>
              <w:left w:w="99.36" w:type="dxa"/>
              <w:bottom w:w="99.36" w:type="dxa"/>
              <w:right w:w="99.36" w:type="dxa"/>
            </w:tcMar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990" w:right="0" w:hanging="630"/>
              <w:jc w:val="left"/>
              <w:rPr>
                <w:i w:val="0"/>
                <w:iCs w:val="0"/>
                <w:smallCaps w:val="0"/>
                <w:strike w:val="0"/>
                <w:color w:val="00000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Teaching of reading including working with students with reading difficulties</w:t>
            </w:r>
          </w:p>
        </w:tc>
      </w:tr>
      <w:tr>
        <w:trPr>
          <w:cantSplit w:val="0"/>
          <w:tblHeader w:val="0"/>
        </w:trPr>
        <w:tc>
          <w:tcPr>
            <w:shd w:fill="d0e0e3" w:val="clear"/>
            <w:tcMar>
              <w:top w:w="99.36" w:type="dxa"/>
              <w:left w:w="99.36" w:type="dxa"/>
              <w:bottom w:w="99.36" w:type="dxa"/>
              <w:right w:w="99.36" w:type="dxa"/>
            </w:tcMar>
          </w:tcPr>
          <w:p w:rsidR="00000000" w:rsidDel="00000000" w:rsidP="00000000" w:rsidRDefault="00000000" w:rsidRPr="00000000" w14:paraId="00000014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99.36" w:type="dxa"/>
              <w:left w:w="99.36" w:type="dxa"/>
              <w:bottom w:w="99.36" w:type="dxa"/>
              <w:right w:w="99.36" w:type="dxa"/>
            </w:tcMar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990" w:right="0" w:hanging="630"/>
              <w:jc w:val="left"/>
              <w:rPr>
                <w:i w:val="0"/>
                <w:iCs w:val="0"/>
                <w:smallCaps w:val="0"/>
                <w:strike w:val="0"/>
                <w:color w:val="00000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Working effectively with students with disabilities, 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i</w:t>
            </w: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ncluding training related to participation as a member of individualized education program teams</w:t>
            </w:r>
          </w:p>
        </w:tc>
      </w:tr>
      <w:tr>
        <w:trPr>
          <w:cantSplit w:val="0"/>
          <w:tblHeader w:val="0"/>
        </w:trPr>
        <w:tc>
          <w:tcPr>
            <w:shd w:fill="d0e0e3" w:val="clear"/>
            <w:tcMar>
              <w:top w:w="99.36" w:type="dxa"/>
              <w:left w:w="99.36" w:type="dxa"/>
              <w:bottom w:w="99.36" w:type="dxa"/>
              <w:right w:w="99.36" w:type="dxa"/>
            </w:tcMar>
          </w:tcPr>
          <w:p w:rsidR="00000000" w:rsidDel="00000000" w:rsidP="00000000" w:rsidRDefault="00000000" w:rsidRPr="00000000" w14:paraId="00000016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99.36" w:type="dxa"/>
              <w:left w:w="99.36" w:type="dxa"/>
              <w:bottom w:w="99.36" w:type="dxa"/>
              <w:right w:w="99.36" w:type="dxa"/>
            </w:tcMar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990" w:right="0" w:hanging="630"/>
              <w:jc w:val="left"/>
              <w:rPr>
                <w:i w:val="0"/>
                <w:iCs w:val="0"/>
                <w:smallCaps w:val="0"/>
                <w:strike w:val="0"/>
                <w:color w:val="00000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Working effectively with students who are limited English proficient</w:t>
            </w:r>
          </w:p>
        </w:tc>
      </w:tr>
      <w:tr>
        <w:trPr>
          <w:cantSplit w:val="0"/>
          <w:tblHeader w:val="0"/>
        </w:trPr>
        <w:tc>
          <w:tcPr>
            <w:shd w:fill="d0e0e3" w:val="clear"/>
            <w:tcMar>
              <w:top w:w="99.36" w:type="dxa"/>
              <w:left w:w="99.36" w:type="dxa"/>
              <w:bottom w:w="99.36" w:type="dxa"/>
              <w:right w:w="99.36" w:type="dxa"/>
            </w:tcMar>
          </w:tcPr>
          <w:p w:rsidR="00000000" w:rsidDel="00000000" w:rsidP="00000000" w:rsidRDefault="00000000" w:rsidRPr="00000000" w14:paraId="00000018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99.36" w:type="dxa"/>
              <w:left w:w="99.36" w:type="dxa"/>
              <w:bottom w:w="99.36" w:type="dxa"/>
              <w:right w:w="99.36" w:type="dxa"/>
            </w:tcMar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990" w:right="0" w:hanging="630"/>
              <w:jc w:val="left"/>
              <w:rPr>
                <w:i w:val="0"/>
                <w:iCs w:val="0"/>
                <w:smallCaps w:val="0"/>
                <w:strike w:val="0"/>
                <w:color w:val="00000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Working with gifted and talented students</w:t>
            </w:r>
          </w:p>
        </w:tc>
      </w:tr>
      <w:tr>
        <w:trPr>
          <w:cantSplit w:val="0"/>
          <w:tblHeader w:val="0"/>
        </w:trPr>
        <w:tc>
          <w:tcPr>
            <w:shd w:fill="d0e0e3" w:val="clear"/>
            <w:tcMar>
              <w:top w:w="99.36" w:type="dxa"/>
              <w:left w:w="99.36" w:type="dxa"/>
              <w:bottom w:w="99.36" w:type="dxa"/>
              <w:right w:w="99.36" w:type="dxa"/>
            </w:tcMar>
          </w:tcPr>
          <w:p w:rsidR="00000000" w:rsidDel="00000000" w:rsidP="00000000" w:rsidRDefault="00000000" w:rsidRPr="00000000" w14:paraId="0000001A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99.36" w:type="dxa"/>
              <w:left w:w="99.36" w:type="dxa"/>
              <w:bottom w:w="99.36" w:type="dxa"/>
              <w:right w:w="99.36" w:type="dxa"/>
            </w:tcMar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990" w:right="0" w:hanging="630"/>
              <w:jc w:val="left"/>
              <w:rPr>
                <w:i w:val="0"/>
                <w:iCs w:val="0"/>
                <w:smallCaps w:val="0"/>
                <w:strike w:val="0"/>
                <w:color w:val="00000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Integrating technology effectively into curricula and instruction, including 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numPr>
                <w:ilvl w:val="1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710" w:right="0" w:hanging="360"/>
              <w:jc w:val="left"/>
              <w:rPr>
                <w:i w:val="0"/>
                <w:iCs w:val="0"/>
                <w:smallCaps w:val="0"/>
                <w:strike w:val="0"/>
                <w:color w:val="00000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</w:t>
            </w: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ctivities consistent with the principles of universal design for learning and 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numPr>
                <w:ilvl w:val="1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710" w:right="0" w:hanging="360"/>
              <w:jc w:val="left"/>
              <w:rPr>
                <w:i w:val="0"/>
                <w:iCs w:val="0"/>
                <w:smallCaps w:val="0"/>
                <w:strike w:val="0"/>
                <w:color w:val="00000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</w:t>
            </w: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he use of technology to effectively collect, manage, and analyze data to improve teaching and learning for the purpose of increasing student academic achievement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0e0e3" w:val="clear"/>
            <w:tcMar>
              <w:top w:w="99.36" w:type="dxa"/>
              <w:left w:w="99.36" w:type="dxa"/>
              <w:bottom w:w="99.36" w:type="dxa"/>
              <w:right w:w="99.36" w:type="dxa"/>
            </w:tcMar>
          </w:tcPr>
          <w:p w:rsidR="00000000" w:rsidDel="00000000" w:rsidP="00000000" w:rsidRDefault="00000000" w:rsidRPr="00000000" w14:paraId="0000001E">
            <w:pPr>
              <w:spacing w:line="276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99.36" w:type="dxa"/>
              <w:left w:w="99.36" w:type="dxa"/>
              <w:bottom w:w="99.36" w:type="dxa"/>
              <w:right w:w="99.36" w:type="dxa"/>
            </w:tcMar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360" w:right="0" w:hanging="36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4. Evidence that programs are aligned to national content standards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0e0e3" w:val="clear"/>
            <w:tcMar>
              <w:top w:w="99.36" w:type="dxa"/>
              <w:left w:w="99.36" w:type="dxa"/>
              <w:bottom w:w="99.36" w:type="dxa"/>
              <w:right w:w="99.36" w:type="dxa"/>
            </w:tcMar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360" w:right="0" w:hanging="360"/>
              <w:jc w:val="left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99.36" w:type="dxa"/>
              <w:left w:w="99.36" w:type="dxa"/>
              <w:bottom w:w="99.36" w:type="dxa"/>
              <w:right w:w="99.36" w:type="dxa"/>
            </w:tcMar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360" w:right="0" w:hanging="36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5. 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Clinical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e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xperience: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990" w:right="0" w:hanging="630"/>
              <w:jc w:val="left"/>
              <w:rPr>
                <w:i w:val="0"/>
                <w:iCs w:val="0"/>
                <w:smallCaps w:val="0"/>
                <w:strike w:val="0"/>
                <w:color w:val="00000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Evidence that clinical experiences meet one of the following requirements:</w:t>
            </w: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numPr>
                <w:ilvl w:val="1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710" w:right="0" w:hanging="360"/>
              <w:jc w:val="left"/>
              <w:rPr>
                <w:i w:val="0"/>
                <w:iCs w:val="0"/>
                <w:smallCaps w:val="0"/>
                <w:strike w:val="0"/>
                <w:color w:val="00000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</w:t>
            </w: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inim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um of</w:t>
            </w: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 450 hours of supervised clinical experience in student teaching, internship, or residency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numPr>
                <w:ilvl w:val="1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710" w:right="0" w:hanging="360"/>
              <w:jc w:val="left"/>
              <w:rPr>
                <w:i w:val="0"/>
                <w:iCs w:val="0"/>
                <w:smallCaps w:val="0"/>
                <w:strike w:val="0"/>
                <w:color w:val="00000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</w:t>
            </w: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emonstration of teaching proficiency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through a combination of documented satisfactory work experience and observation by the EPP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numPr>
                <w:ilvl w:val="1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710" w:right="0" w:hanging="360"/>
              <w:jc w:val="left"/>
              <w:rPr>
                <w:i w:val="0"/>
                <w:iCs w:val="0"/>
                <w:smallCaps w:val="0"/>
                <w:strike w:val="0"/>
                <w:color w:val="00000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Passing a</w:t>
            </w: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 board-approved assessment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0e0e3" w:val="clear"/>
            <w:tcMar>
              <w:top w:w="99.36" w:type="dxa"/>
              <w:left w:w="99.36" w:type="dxa"/>
              <w:bottom w:w="99.36" w:type="dxa"/>
              <w:right w:w="99.36" w:type="dxa"/>
            </w:tcMar>
          </w:tcPr>
          <w:p w:rsidR="00000000" w:rsidDel="00000000" w:rsidP="00000000" w:rsidRDefault="00000000" w:rsidRPr="00000000" w14:paraId="00000026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99.36" w:type="dxa"/>
              <w:left w:w="99.36" w:type="dxa"/>
              <w:bottom w:w="99.36" w:type="dxa"/>
              <w:right w:w="99.36" w:type="dxa"/>
            </w:tcMar>
          </w:tcPr>
          <w:p w:rsidR="00000000" w:rsidDel="00000000" w:rsidP="00000000" w:rsidRDefault="00000000" w:rsidRPr="00000000" w14:paraId="00000027">
            <w:pPr>
              <w:spacing w:line="276" w:lineRule="auto"/>
              <w:ind w:left="0" w:firstLine="0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6. Clinical faculty evidence: University supervisor selection/qualifications</w:t>
            </w:r>
          </w:p>
        </w:tc>
      </w:tr>
      <w:tr>
        <w:trPr>
          <w:cantSplit w:val="0"/>
          <w:tblHeader w:val="0"/>
        </w:trPr>
        <w:tc>
          <w:tcPr>
            <w:shd w:fill="d0e0e3" w:val="clear"/>
            <w:tcMar>
              <w:top w:w="99.36" w:type="dxa"/>
              <w:left w:w="99.36" w:type="dxa"/>
              <w:bottom w:w="99.36" w:type="dxa"/>
              <w:right w:w="99.36" w:type="dxa"/>
            </w:tcMar>
          </w:tcPr>
          <w:p w:rsidR="00000000" w:rsidDel="00000000" w:rsidP="00000000" w:rsidRDefault="00000000" w:rsidRPr="00000000" w14:paraId="00000028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99.36" w:type="dxa"/>
              <w:left w:w="99.36" w:type="dxa"/>
              <w:bottom w:w="99.36" w:type="dxa"/>
              <w:right w:w="99.36" w:type="dxa"/>
            </w:tcMar>
          </w:tcPr>
          <w:p w:rsidR="00000000" w:rsidDel="00000000" w:rsidP="00000000" w:rsidRDefault="00000000" w:rsidRPr="00000000" w14:paraId="00000029">
            <w:pPr>
              <w:keepNext w:val="1"/>
              <w:keepLines w:val="1"/>
              <w:spacing w:line="276" w:lineRule="auto"/>
              <w:ind w:left="0" w:firstLine="0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7. School partnership evidence:</w:t>
            </w:r>
          </w:p>
          <w:p w:rsidR="00000000" w:rsidDel="00000000" w:rsidP="00000000" w:rsidRDefault="00000000" w:rsidRPr="00000000" w14:paraId="0000002A">
            <w:pPr>
              <w:keepNext w:val="1"/>
              <w:keepLines w:val="1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Arial" w:cs="Arial" w:eastAsia="Arial" w:hAnsi="Arial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School partner selection criteria </w:t>
            </w:r>
          </w:p>
          <w:p w:rsidR="00000000" w:rsidDel="00000000" w:rsidP="00000000" w:rsidRDefault="00000000" w:rsidRPr="00000000" w14:paraId="0000002B">
            <w:pPr>
              <w:keepNext w:val="1"/>
              <w:keepLines w:val="1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Arial" w:cs="Arial" w:eastAsia="Arial" w:hAnsi="Arial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 list of partnership schools</w:t>
            </w:r>
          </w:p>
          <w:p w:rsidR="00000000" w:rsidDel="00000000" w:rsidP="00000000" w:rsidRDefault="00000000" w:rsidRPr="00000000" w14:paraId="0000002C">
            <w:pPr>
              <w:keepNext w:val="1"/>
              <w:keepLines w:val="1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Arial" w:cs="Arial" w:eastAsia="Arial" w:hAnsi="Arial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Cooperating/mentor teacher co-selection criteria</w:t>
            </w:r>
          </w:p>
        </w:tc>
      </w:tr>
      <w:tr>
        <w:trPr>
          <w:cantSplit w:val="0"/>
          <w:tblHeader w:val="0"/>
        </w:trPr>
        <w:tc>
          <w:tcPr>
            <w:shd w:fill="d0e0e3" w:val="clear"/>
            <w:tcMar>
              <w:top w:w="99.36" w:type="dxa"/>
              <w:left w:w="99.36" w:type="dxa"/>
              <w:bottom w:w="99.36" w:type="dxa"/>
              <w:right w:w="99.36" w:type="dxa"/>
            </w:tcMar>
          </w:tcPr>
          <w:p w:rsidR="00000000" w:rsidDel="00000000" w:rsidP="00000000" w:rsidRDefault="00000000" w:rsidRPr="00000000" w14:paraId="0000002D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E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5840" w:w="12240" w:orient="portrait"/>
      <w:pgMar w:bottom="1440" w:top="1440" w:left="1440" w:right="144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1">
    <w:pPr>
      <w:spacing w:after="0" w:line="276" w:lineRule="auto"/>
      <w:jc w:val="center"/>
      <w:rPr>
        <w:rFonts w:ascii="Arial" w:cs="Arial" w:eastAsia="Arial" w:hAnsi="Arial"/>
        <w:sz w:val="24"/>
        <w:szCs w:val="24"/>
      </w:rPr>
    </w:pPr>
    <w:bookmarkStart w:colFirst="0" w:colLast="0" w:name="_heading=h.30j0zll" w:id="0"/>
    <w:bookmarkEnd w:id="0"/>
    <w:r w:rsidDel="00000000" w:rsidR="00000000" w:rsidRPr="00000000">
      <w:rPr>
        <w:rFonts w:ascii="Arial" w:cs="Arial" w:eastAsia="Arial" w:hAnsi="Arial"/>
        <w:sz w:val="24"/>
        <w:szCs w:val="24"/>
      </w:rPr>
      <w:drawing>
        <wp:inline distB="114300" distT="114300" distL="114300" distR="114300">
          <wp:extent cx="1747838" cy="1286794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47838" cy="1286794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2">
    <w:pPr>
      <w:spacing w:after="0" w:line="276" w:lineRule="auto"/>
      <w:jc w:val="center"/>
      <w:rPr>
        <w:rFonts w:ascii="Arial" w:cs="Arial" w:eastAsia="Arial" w:hAnsi="Arial"/>
        <w:sz w:val="24"/>
        <w:szCs w:val="24"/>
      </w:rPr>
    </w:pPr>
    <w:bookmarkStart w:colFirst="0" w:colLast="0" w:name="_heading=h.1il2h5nt05dj" w:id="1"/>
    <w:bookmarkEnd w:id="1"/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upperLetter"/>
      <w:lvlText w:val="%2."/>
      <w:lvlJc w:val="left"/>
      <w:pPr>
        <w:ind w:left="99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4">
    <w:lvl w:ilvl="0">
      <w:start w:val="1"/>
      <w:numFmt w:val="upperLetter"/>
      <w:lvlText w:val="%1."/>
      <w:lvlJc w:val="left"/>
      <w:pPr>
        <w:ind w:left="990" w:hanging="630"/>
      </w:pPr>
      <w:rPr>
        <w:rFonts w:ascii="Arial" w:cs="Arial" w:eastAsia="Arial" w:hAnsi="Arial"/>
        <w:b w:val="0"/>
        <w:bCs w:val="0"/>
      </w:rPr>
    </w:lvl>
    <w:lvl w:ilvl="1">
      <w:start w:val="1"/>
      <w:numFmt w:val="lowerRoman"/>
      <w:lvlText w:val="%2."/>
      <w:lvlJc w:val="right"/>
      <w:pPr>
        <w:ind w:left="2160" w:hanging="360"/>
      </w:pPr>
      <w:rPr/>
    </w:lvl>
    <w:lvl w:ilvl="2">
      <w:start w:val="1"/>
      <w:numFmt w:val="lowerLetter"/>
      <w:lvlText w:val="%3."/>
      <w:lvlJc w:val="left"/>
      <w:pPr>
        <w:ind w:left="3060" w:hanging="360"/>
      </w:pPr>
      <w:rPr/>
    </w:lvl>
    <w:lvl w:ilvl="3">
      <w:start w:val="1"/>
      <w:numFmt w:val="decimal"/>
      <w:lvlText w:val="%4."/>
      <w:lvlJc w:val="left"/>
      <w:pPr>
        <w:ind w:left="3600" w:hanging="360"/>
      </w:pPr>
      <w:rPr/>
    </w:lvl>
    <w:lvl w:ilvl="4">
      <w:start w:val="1"/>
      <w:numFmt w:val="lowerLetter"/>
      <w:lvlText w:val="%5."/>
      <w:lvlJc w:val="left"/>
      <w:pPr>
        <w:ind w:left="4320" w:hanging="360"/>
      </w:pPr>
      <w:rPr/>
    </w:lvl>
    <w:lvl w:ilvl="5">
      <w:start w:val="1"/>
      <w:numFmt w:val="lowerRoman"/>
      <w:lvlText w:val="%6."/>
      <w:lvlJc w:val="right"/>
      <w:pPr>
        <w:ind w:left="5040" w:hanging="180"/>
      </w:pPr>
      <w:rPr/>
    </w:lvl>
    <w:lvl w:ilvl="6">
      <w:start w:val="1"/>
      <w:numFmt w:val="decimal"/>
      <w:lvlText w:val="%7."/>
      <w:lvlJc w:val="left"/>
      <w:pPr>
        <w:ind w:left="5760" w:hanging="360"/>
      </w:pPr>
      <w:rPr/>
    </w:lvl>
    <w:lvl w:ilvl="7">
      <w:start w:val="1"/>
      <w:numFmt w:val="lowerLetter"/>
      <w:lvlText w:val="%8."/>
      <w:lvlJc w:val="left"/>
      <w:pPr>
        <w:ind w:left="6480" w:hanging="360"/>
      </w:pPr>
      <w:rPr/>
    </w:lvl>
    <w:lvl w:ilvl="8">
      <w:start w:val="1"/>
      <w:numFmt w:val="lowerRoman"/>
      <w:lvlText w:val="%9."/>
      <w:lvlJc w:val="right"/>
      <w:pPr>
        <w:ind w:left="7200" w:hanging="180"/>
      </w:pPr>
      <w:rPr/>
    </w:lvl>
  </w:abstractNum>
  <w:abstractNum w:abstractNumId="5">
    <w:lvl w:ilvl="0">
      <w:start w:val="1"/>
      <w:numFmt w:val="upperLetter"/>
      <w:lvlText w:val="%1."/>
      <w:lvlJc w:val="left"/>
      <w:pPr>
        <w:ind w:left="990" w:hanging="630"/>
      </w:pPr>
      <w:rPr>
        <w:rFonts w:ascii="Arial" w:cs="Arial" w:eastAsia="Arial" w:hAnsi="Arial"/>
        <w:b w:val="0"/>
        <w:bCs w:val="0"/>
      </w:rPr>
    </w:lvl>
    <w:lvl w:ilvl="1">
      <w:start w:val="1"/>
      <w:numFmt w:val="lowerRoman"/>
      <w:lvlText w:val="%2."/>
      <w:lvlJc w:val="right"/>
      <w:pPr>
        <w:ind w:left="2160" w:hanging="360"/>
      </w:pPr>
      <w:rPr/>
    </w:lvl>
    <w:lvl w:ilvl="2">
      <w:start w:val="1"/>
      <w:numFmt w:val="lowerLetter"/>
      <w:lvlText w:val="%3."/>
      <w:lvlJc w:val="left"/>
      <w:pPr>
        <w:ind w:left="3060" w:hanging="360"/>
      </w:pPr>
      <w:rPr/>
    </w:lvl>
    <w:lvl w:ilvl="3">
      <w:start w:val="1"/>
      <w:numFmt w:val="decimal"/>
      <w:lvlText w:val="%4."/>
      <w:lvlJc w:val="left"/>
      <w:pPr>
        <w:ind w:left="3600" w:hanging="360"/>
      </w:pPr>
      <w:rPr/>
    </w:lvl>
    <w:lvl w:ilvl="4">
      <w:start w:val="1"/>
      <w:numFmt w:val="lowerLetter"/>
      <w:lvlText w:val="%5."/>
      <w:lvlJc w:val="left"/>
      <w:pPr>
        <w:ind w:left="4320" w:hanging="360"/>
      </w:pPr>
      <w:rPr/>
    </w:lvl>
    <w:lvl w:ilvl="5">
      <w:start w:val="1"/>
      <w:numFmt w:val="lowerRoman"/>
      <w:lvlText w:val="%6."/>
      <w:lvlJc w:val="right"/>
      <w:pPr>
        <w:ind w:left="5040" w:hanging="180"/>
      </w:pPr>
      <w:rPr/>
    </w:lvl>
    <w:lvl w:ilvl="6">
      <w:start w:val="1"/>
      <w:numFmt w:val="decimal"/>
      <w:lvlText w:val="%7."/>
      <w:lvlJc w:val="left"/>
      <w:pPr>
        <w:ind w:left="5760" w:hanging="360"/>
      </w:pPr>
      <w:rPr/>
    </w:lvl>
    <w:lvl w:ilvl="7">
      <w:start w:val="1"/>
      <w:numFmt w:val="lowerLetter"/>
      <w:lvlText w:val="%8."/>
      <w:lvlJc w:val="left"/>
      <w:pPr>
        <w:ind w:left="6480" w:hanging="360"/>
      </w:pPr>
      <w:rPr/>
    </w:lvl>
    <w:lvl w:ilvl="8">
      <w:start w:val="1"/>
      <w:numFmt w:val="lowerRoman"/>
      <w:lvlText w:val="%9."/>
      <w:lvlJc w:val="right"/>
      <w:pPr>
        <w:ind w:left="720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</w:pPr>
    <w:rPr>
      <w:rFonts w:ascii="Times New Roman" w:cs="Times New Roman" w:eastAsia="Times New Roman" w:hAnsi="Times New Roman"/>
      <w:b w:val="1"/>
      <w:bCs w:val="1"/>
      <w:color w:val="2f5496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after="0" w:line="240" w:lineRule="auto"/>
      <w:jc w:val="center"/>
    </w:pPr>
    <w:rPr>
      <w:rFonts w:ascii="Times New Roman" w:cs="Times New Roman" w:eastAsia="Times New Roman" w:hAnsi="Times New Roman"/>
      <w:b w:val="1"/>
      <w:bCs w:val="1"/>
      <w:sz w:val="28"/>
      <w:szCs w:val="28"/>
    </w:rPr>
  </w:style>
  <w:style w:type="paragraph" w:styleId="Normal" w:default="1">
    <w:name w:val="Normal"/>
    <w:qFormat w:val="1"/>
  </w:style>
  <w:style w:type="paragraph" w:styleId="Heading1">
    <w:name w:val="heading 1"/>
    <w:basedOn w:val="Normal"/>
    <w:next w:val="Normal"/>
    <w:link w:val="Heading1Char"/>
    <w:uiPriority w:val="9"/>
    <w:qFormat w:val="1"/>
    <w:rsid w:val="00F546F1"/>
    <w:pPr>
      <w:keepNext w:val="1"/>
      <w:keepLines w:val="1"/>
      <w:spacing w:after="0" w:before="240"/>
      <w:outlineLvl w:val="0"/>
    </w:pPr>
    <w:rPr>
      <w:rFonts w:ascii="Times New Roman" w:hAnsi="Times New Roman" w:cstheme="majorBidi" w:eastAsiaTheme="majorEastAsia"/>
      <w:b w:val="1"/>
      <w:color w:val="2f5496" w:themeColor="accent1" w:themeShade="0000BF"/>
      <w:sz w:val="28"/>
      <w:szCs w:val="3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link w:val="TitleChar"/>
    <w:uiPriority w:val="10"/>
    <w:qFormat w:val="1"/>
    <w:rsid w:val="0061448B"/>
    <w:pPr>
      <w:spacing w:after="0" w:line="240" w:lineRule="auto"/>
      <w:contextualSpacing w:val="1"/>
      <w:jc w:val="center"/>
    </w:pPr>
    <w:rPr>
      <w:rFonts w:ascii="Times New Roman" w:hAnsi="Times New Roman" w:cstheme="majorBidi" w:eastAsiaTheme="majorEastAsia"/>
      <w:b w:val="1"/>
      <w:spacing w:val="-10"/>
      <w:kern w:val="28"/>
      <w:sz w:val="28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61448B"/>
    <w:rPr>
      <w:rFonts w:ascii="Times New Roman" w:hAnsi="Times New Roman" w:cstheme="majorBidi" w:eastAsiaTheme="majorEastAsia"/>
      <w:b w:val="1"/>
      <w:spacing w:val="-10"/>
      <w:kern w:val="28"/>
      <w:sz w:val="28"/>
      <w:szCs w:val="56"/>
    </w:rPr>
  </w:style>
  <w:style w:type="character" w:styleId="Heading1Char" w:customStyle="1">
    <w:name w:val="Heading 1 Char"/>
    <w:basedOn w:val="DefaultParagraphFont"/>
    <w:link w:val="Heading1"/>
    <w:uiPriority w:val="9"/>
    <w:rsid w:val="00F546F1"/>
    <w:rPr>
      <w:rFonts w:ascii="Times New Roman" w:hAnsi="Times New Roman" w:cstheme="majorBidi" w:eastAsiaTheme="majorEastAsia"/>
      <w:b w:val="1"/>
      <w:color w:val="2f5496" w:themeColor="accent1" w:themeShade="0000BF"/>
      <w:sz w:val="28"/>
      <w:szCs w:val="32"/>
    </w:rPr>
  </w:style>
  <w:style w:type="table" w:styleId="TableGrid">
    <w:name w:val="Table Grid"/>
    <w:basedOn w:val="TableNormal"/>
    <w:uiPriority w:val="39"/>
    <w:rsid w:val="00DA64EF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ListParagraph">
    <w:name w:val="List Paragraph"/>
    <w:basedOn w:val="Normal"/>
    <w:uiPriority w:val="34"/>
    <w:qFormat w:val="1"/>
    <w:rsid w:val="00C10249"/>
    <w:pPr>
      <w:ind w:left="720"/>
      <w:contextualSpacing w:val="1"/>
    </w:pPr>
  </w:style>
  <w:style w:type="paragraph" w:styleId="Header">
    <w:name w:val="header"/>
    <w:basedOn w:val="Normal"/>
    <w:link w:val="HeaderChar"/>
    <w:uiPriority w:val="99"/>
    <w:unhideWhenUsed w:val="1"/>
    <w:rsid w:val="00E577D5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577D5"/>
  </w:style>
  <w:style w:type="paragraph" w:styleId="Footer">
    <w:name w:val="footer"/>
    <w:basedOn w:val="Normal"/>
    <w:link w:val="FooterChar"/>
    <w:uiPriority w:val="99"/>
    <w:unhideWhenUsed w:val="1"/>
    <w:rsid w:val="00E577D5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577D5"/>
  </w:style>
  <w:style w:type="character" w:styleId="CommentReference">
    <w:name w:val="annotation reference"/>
    <w:basedOn w:val="DefaultParagraphFont"/>
    <w:uiPriority w:val="99"/>
    <w:semiHidden w:val="1"/>
    <w:unhideWhenUsed w:val="1"/>
    <w:rsid w:val="00E53C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 w:val="1"/>
    <w:rsid w:val="00E53CC2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E53CC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 w:val="1"/>
    <w:unhideWhenUsed w:val="1"/>
    <w:rsid w:val="00E53CC2"/>
    <w:rPr>
      <w:b w:val="1"/>
      <w:bCs w:val="1"/>
    </w:rPr>
  </w:style>
  <w:style w:type="character" w:styleId="CommentSubjectChar" w:customStyle="1">
    <w:name w:val="Comment Subject Char"/>
    <w:basedOn w:val="CommentTextChar"/>
    <w:link w:val="CommentSubject"/>
    <w:uiPriority w:val="99"/>
    <w:semiHidden w:val="1"/>
    <w:rsid w:val="00E53CC2"/>
    <w:rPr>
      <w:b w:val="1"/>
      <w:bCs w:val="1"/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3.xml"/><Relationship Id="rId12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3.xml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lI0VzQVLc77coQn9wszrCCH6FA==">CgMxLjAaHwoBMBIaChgICVIUChJ0YWJsZS4yYjNmdTAxMWo4OGgyCWguMzBqMHpsbDIOaC4xaWwyaDVudDA1ZGo4AHIhMW9Yc1VWSkRaNi1BZUF4bW93MmNBUzZyTHpBMGdwSDd6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2023-03-15T21:15:00Z</dcterms:created>
  <dc:creator>Padua, Jennifer FM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55878e95-e647-4dd7-a019-78846f54050f</vt:lpwstr>
  </property>
</Properties>
</file>