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AAQEP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Appendix UT: 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Evidence of Utah-Specific Requirements 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for Educator Preparation Providers</w:t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/>
      </w:pPr>
      <w:r w:rsidDel="00000000" w:rsidR="00000000" w:rsidRPr="00000000">
        <w:rPr>
          <w:sz w:val="28"/>
          <w:szCs w:val="28"/>
          <w:rtl w:val="0"/>
        </w:rPr>
        <w:t xml:space="preserve">(For Utah Providers Only)</w:t>
      </w:r>
      <w:r w:rsidDel="00000000" w:rsidR="00000000" w:rsidRPr="00000000">
        <w:rPr>
          <w:rtl w:val="0"/>
        </w:rPr>
      </w:r>
    </w:p>
    <w:sdt>
      <w:sdtPr>
        <w:lock w:val="contentLocked"/>
        <w:id w:val="2049768648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360"/>
            <w:tblGridChange w:id="0">
              <w:tblGrid>
                <w:gridCol w:w="93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after="200" w:lineRule="auto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Purpose:</w:t>
                </w: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 Per AAQEP’s cooperation agreement with the Utah State Board of Education, self-study authors are responsible for providing evidence of how programs support candidates in the areas specified in the UT Administrative Rules R277.303-3(2)(c). This template collects the required information to be included in the self-study under Aspect 4g.</w:t>
                </w:r>
              </w:p>
              <w:p w:rsidR="00000000" w:rsidDel="00000000" w:rsidP="00000000" w:rsidRDefault="00000000" w:rsidRPr="00000000" w14:paraId="00000006">
                <w:pPr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Directions for Completion: </w:t>
                </w:r>
              </w:p>
              <w:p w:rsidR="00000000" w:rsidDel="00000000" w:rsidP="00000000" w:rsidRDefault="00000000" w:rsidRPr="00000000" w14:paraId="00000007">
                <w:pPr>
                  <w:numPr>
                    <w:ilvl w:val="0"/>
                    <w:numId w:val="2"/>
                  </w:numPr>
                  <w:ind w:left="720" w:hanging="360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Type the requested information in each of the shaded area below. If the information requested for a given item is already provided elsewhere in your self-study, please indicate where it can be found rather than presenting duplicate information. </w:t>
                </w:r>
              </w:p>
              <w:p w:rsidR="00000000" w:rsidDel="00000000" w:rsidP="00000000" w:rsidRDefault="00000000" w:rsidRPr="00000000" w14:paraId="00000008">
                <w:pPr>
                  <w:numPr>
                    <w:ilvl w:val="0"/>
                    <w:numId w:val="2"/>
                  </w:numPr>
                  <w:ind w:left="720" w:hanging="360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Once this form is complete, save it as a PDF, and upload that document as evidence in the self-study field for Aspect 4g in the Accreditation Management Platform. </w:t>
                </w:r>
              </w:p>
              <w:p w:rsidR="00000000" w:rsidDel="00000000" w:rsidP="00000000" w:rsidRDefault="00000000" w:rsidRPr="00000000" w14:paraId="00000009">
                <w:pPr>
                  <w:numPr>
                    <w:ilvl w:val="0"/>
                    <w:numId w:val="2"/>
                  </w:numPr>
                  <w:ind w:left="720" w:hanging="360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sz w:val="22"/>
                    <w:szCs w:val="22"/>
                    <w:rtl w:val="0"/>
                  </w:rPr>
                  <w:t xml:space="preserve">If further documentation is needed to support the narrative below, please upload it as additional evidence for Aspect 4g, clearly labeling it as in support of Appendix UT.</w:t>
                </w:r>
              </w:p>
            </w:tc>
          </w:tr>
        </w:tbl>
      </w:sdtContent>
    </w:sdt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eo1gool5hz0z" w:id="0"/>
            <w:bookmarkEnd w:id="0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Explanation and evidence that demonstrates programs develop and support high-quality mentors who support program candidates in demonstrating competencies in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Board Rule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(UT Administrative Rules R277.303-3(2)(c)).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bookmarkStart w:colFirst="0" w:colLast="0" w:name="_heading=h.cljjwmeip235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22"/>
                <w:szCs w:val="22"/>
              </w:rPr>
            </w:pPr>
            <w:bookmarkStart w:colFirst="0" w:colLast="0" w:name="_heading=h.lp96oa9ms5mp" w:id="2"/>
            <w:bookmarkEnd w:id="2"/>
            <w:r w:rsidDel="00000000" w:rsidR="00000000" w:rsidRPr="00000000">
              <w:rPr>
                <w:sz w:val="22"/>
                <w:szCs w:val="22"/>
                <w:rtl w:val="0"/>
              </w:rPr>
              <w:t xml:space="preserve">For teacher preparation programs, competencies are defined in </w:t>
            </w:r>
            <w:hyperlink r:id="rId7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R277-304</w:t>
              </w:r>
            </w:hyperlink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22"/>
                <w:szCs w:val="22"/>
              </w:rPr>
            </w:pPr>
            <w:bookmarkStart w:colFirst="0" w:colLast="0" w:name="_heading=h.w16m2nk0xt0m" w:id="3"/>
            <w:bookmarkEnd w:id="3"/>
            <w:r w:rsidDel="00000000" w:rsidR="00000000" w:rsidRPr="00000000">
              <w:rPr>
                <w:sz w:val="22"/>
                <w:szCs w:val="22"/>
                <w:rtl w:val="0"/>
              </w:rPr>
              <w:t xml:space="preserve">For school leadership programs, competencies are defined in </w:t>
            </w:r>
            <w:hyperlink r:id="rId8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R277-305</w:t>
              </w:r>
            </w:hyperlink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22"/>
                <w:szCs w:val="22"/>
              </w:rPr>
            </w:pPr>
            <w:bookmarkStart w:colFirst="0" w:colLast="0" w:name="_heading=h.ez7n5xqb7kjx" w:id="4"/>
            <w:bookmarkEnd w:id="4"/>
            <w:r w:rsidDel="00000000" w:rsidR="00000000" w:rsidRPr="00000000">
              <w:rPr>
                <w:sz w:val="22"/>
                <w:szCs w:val="22"/>
                <w:rtl w:val="0"/>
              </w:rPr>
              <w:t xml:space="preserve">For school psychologist, audiologist, speech-language pathologist, speech technician, school counselor, and school social worker programs, competencies are defined in </w:t>
            </w:r>
            <w:hyperlink r:id="rId9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R277-306</w:t>
              </w:r>
            </w:hyperlink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shd w:fill="d0e0e3" w:val="clear"/>
            <w:tcMar>
              <w:top w:w="99.36" w:type="dxa"/>
              <w:left w:w="99.36" w:type="dxa"/>
              <w:bottom w:w="99.36" w:type="dxa"/>
              <w:right w:w="99.36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76" w:lineRule="auto"/>
      <w:jc w:val="center"/>
      <w:rPr/>
    </w:pPr>
    <w:bookmarkStart w:colFirst="0" w:colLast="0" w:name="_heading=h.30j0zll" w:id="5"/>
    <w:bookmarkEnd w:id="5"/>
    <w:r w:rsidDel="00000000" w:rsidR="00000000" w:rsidRPr="00000000">
      <w:rPr/>
      <w:drawing>
        <wp:inline distB="114300" distT="114300" distL="114300" distR="114300">
          <wp:extent cx="1747838" cy="128679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47838" cy="128679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pacing w:line="276" w:lineRule="auto"/>
      <w:jc w:val="center"/>
      <w:rPr/>
    </w:pPr>
    <w:bookmarkStart w:colFirst="0" w:colLast="0" w:name="_heading=h.mzduif7wknqp" w:id="6"/>
    <w:bookmarkEnd w:id="6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Times New Roman" w:cs="Times New Roman" w:eastAsia="Times New Roman" w:hAnsi="Times New Roman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F546F1"/>
    <w:pPr>
      <w:keepNext w:val="1"/>
      <w:keepLines w:val="1"/>
      <w:spacing w:after="0" w:before="240"/>
      <w:outlineLvl w:val="0"/>
    </w:pPr>
    <w:rPr>
      <w:rFonts w:ascii="Times New Roman" w:hAnsi="Times New Roman" w:cstheme="majorBidi" w:eastAsiaTheme="majorEastAsia"/>
      <w:b w:val="1"/>
      <w:color w:val="2f5496" w:themeColor="accent1" w:themeShade="0000BF"/>
      <w:sz w:val="28"/>
      <w:szCs w:val="32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61448B"/>
    <w:pPr>
      <w:spacing w:after="0" w:line="240" w:lineRule="auto"/>
      <w:contextualSpacing w:val="1"/>
      <w:jc w:val="center"/>
    </w:pPr>
    <w:rPr>
      <w:rFonts w:ascii="Times New Roman" w:hAnsi="Times New Roman" w:cstheme="majorBidi" w:eastAsiaTheme="majorEastAsia"/>
      <w:b w:val="1"/>
      <w:spacing w:val="-10"/>
      <w:kern w:val="28"/>
      <w:sz w:val="28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1448B"/>
    <w:rPr>
      <w:rFonts w:ascii="Times New Roman" w:hAnsi="Times New Roman" w:cstheme="majorBidi" w:eastAsiaTheme="majorEastAsia"/>
      <w:b w:val="1"/>
      <w:spacing w:val="-10"/>
      <w:kern w:val="28"/>
      <w:sz w:val="28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546F1"/>
    <w:rPr>
      <w:rFonts w:ascii="Times New Roman" w:hAnsi="Times New Roman" w:cstheme="majorBidi" w:eastAsiaTheme="majorEastAsia"/>
      <w:b w:val="1"/>
      <w:color w:val="2f5496" w:themeColor="accent1" w:themeShade="0000BF"/>
      <w:sz w:val="28"/>
      <w:szCs w:val="32"/>
    </w:rPr>
  </w:style>
  <w:style w:type="table" w:styleId="TableGrid">
    <w:name w:val="Table Grid"/>
    <w:basedOn w:val="TableNormal"/>
    <w:uiPriority w:val="39"/>
    <w:rsid w:val="00DA64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C10249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E577D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577D5"/>
  </w:style>
  <w:style w:type="paragraph" w:styleId="Footer">
    <w:name w:val="footer"/>
    <w:basedOn w:val="Normal"/>
    <w:link w:val="FooterChar"/>
    <w:uiPriority w:val="99"/>
    <w:unhideWhenUsed w:val="1"/>
    <w:rsid w:val="00E577D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577D5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E53C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E53CC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53C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E53CC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E53CC2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chools.utah.gov/adminrules/R277-306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chools.utah.gov/adminrules/R277-304" TargetMode="External"/><Relationship Id="rId8" Type="http://schemas.openxmlformats.org/officeDocument/2006/relationships/hyperlink" Target="https://schools.utah.gov/adminrules/R277-305" TargetMode="Externa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XrJqBDysN2q2MqLkrJbIsBb71Q==">CgMxLjAaHwoBMBIaChgICVIUChJ0YWJsZS4yYjNmdTAxMWo4OGgyDmguZW8xZ29vbDVoejB6Mg5oLmNsamp3bWVpcDIzNTIOaC5scDk2b2E5bXM1bXAyDmgudzE2bTJuazB4dDBtMg5oLmV6N241eHFiN2tqeDIJaC4zMGowemxsMg5oLm16ZHVpZjd3a25xcDgAciExNDF2QlRibHhvNEl3WmVQUlFaNzZCU1l3LUdrVmhUV3M=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2024-05-09T22:18:00Z</dcterms:created>
  <dc:creator>Padua, Jennifer FM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55878e95-e647-4dd7-a019-78846f54050f</vt:lpwstr>
  </property>
</Properties>
</file>